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2DD1" w14:textId="6027EAA5" w:rsidR="00AA783C" w:rsidRPr="0037583A" w:rsidRDefault="00877AFA" w:rsidP="00877AFA">
      <w:pPr>
        <w:jc w:val="center"/>
        <w:rPr>
          <w:rFonts w:ascii="Century" w:hAnsi="Century"/>
          <w:sz w:val="24"/>
          <w:szCs w:val="24"/>
        </w:rPr>
      </w:pPr>
      <w:r w:rsidRPr="0037583A">
        <w:rPr>
          <w:rFonts w:ascii="Century" w:hAnsi="Century"/>
          <w:sz w:val="24"/>
          <w:szCs w:val="24"/>
        </w:rPr>
        <w:t xml:space="preserve">Faglig beskrivelse vedr. </w:t>
      </w:r>
      <w:r w:rsidR="00C21088" w:rsidRPr="0037583A">
        <w:rPr>
          <w:rFonts w:ascii="Century" w:hAnsi="Century"/>
          <w:sz w:val="24"/>
          <w:szCs w:val="24"/>
        </w:rPr>
        <w:t>hjemløshedsindsats</w:t>
      </w:r>
    </w:p>
    <w:p w14:paraId="00FFD3AC" w14:textId="04ECCC7E" w:rsidR="00877AFA" w:rsidRPr="0037583A" w:rsidRDefault="00877AFA" w:rsidP="00877AFA">
      <w:pPr>
        <w:rPr>
          <w:rFonts w:ascii="Century" w:hAnsi="Century"/>
          <w:sz w:val="24"/>
          <w:szCs w:val="24"/>
        </w:rPr>
      </w:pPr>
      <w:r w:rsidRPr="0037583A">
        <w:rPr>
          <w:rFonts w:ascii="Century" w:hAnsi="Century"/>
          <w:sz w:val="24"/>
          <w:szCs w:val="24"/>
        </w:rPr>
        <w:t>1</w:t>
      </w:r>
      <w:r w:rsidR="00B66409">
        <w:rPr>
          <w:rFonts w:ascii="Century" w:hAnsi="Century"/>
          <w:sz w:val="24"/>
          <w:szCs w:val="24"/>
        </w:rPr>
        <w:t>2</w:t>
      </w:r>
      <w:r w:rsidRPr="0037583A">
        <w:rPr>
          <w:rFonts w:ascii="Century" w:hAnsi="Century"/>
          <w:sz w:val="24"/>
          <w:szCs w:val="24"/>
        </w:rPr>
        <w:t xml:space="preserve"> steder i landet tilbyder Blå Kors Danmark </w:t>
      </w:r>
      <w:r w:rsidR="00B66409">
        <w:rPr>
          <w:rFonts w:ascii="Century" w:hAnsi="Century"/>
          <w:sz w:val="24"/>
          <w:szCs w:val="24"/>
        </w:rPr>
        <w:t>hjemløshedspladser</w:t>
      </w:r>
      <w:r w:rsidR="00C21088" w:rsidRPr="0037583A">
        <w:rPr>
          <w:rFonts w:ascii="Century" w:hAnsi="Century"/>
          <w:sz w:val="24"/>
          <w:szCs w:val="24"/>
        </w:rPr>
        <w:t xml:space="preserve"> i henhold til servicelovens §110</w:t>
      </w:r>
      <w:r w:rsidRPr="0037583A">
        <w:rPr>
          <w:rFonts w:ascii="Century" w:hAnsi="Century"/>
          <w:sz w:val="24"/>
          <w:szCs w:val="24"/>
        </w:rPr>
        <w:t>. Generelt gælder det, at man i Blå Kors Danmark på hjemløshedsområdet arbejder ud fra de nationale retningslinjer og</w:t>
      </w:r>
      <w:r w:rsidR="00B66409">
        <w:rPr>
          <w:rFonts w:ascii="Century" w:hAnsi="Century"/>
          <w:sz w:val="24"/>
          <w:szCs w:val="24"/>
        </w:rPr>
        <w:t xml:space="preserve"> Socialstyrelsens</w:t>
      </w:r>
      <w:r w:rsidRPr="0037583A">
        <w:rPr>
          <w:rFonts w:ascii="Century" w:hAnsi="Century"/>
          <w:sz w:val="24"/>
          <w:szCs w:val="24"/>
        </w:rPr>
        <w:t xml:space="preserve"> anbefalinger om Housing First</w:t>
      </w:r>
      <w:r w:rsidR="00B66409">
        <w:rPr>
          <w:rFonts w:ascii="Century" w:hAnsi="Century"/>
          <w:sz w:val="24"/>
          <w:szCs w:val="24"/>
        </w:rPr>
        <w:t xml:space="preserve">. </w:t>
      </w:r>
      <w:r w:rsidRPr="0037583A">
        <w:rPr>
          <w:rFonts w:ascii="Century" w:hAnsi="Century"/>
          <w:sz w:val="24"/>
          <w:szCs w:val="24"/>
        </w:rPr>
        <w:t>Det vil sige, at målet med et ophold er</w:t>
      </w:r>
      <w:r w:rsidR="007E5DD4" w:rsidRPr="0037583A">
        <w:rPr>
          <w:rFonts w:ascii="Century" w:hAnsi="Century"/>
          <w:sz w:val="24"/>
          <w:szCs w:val="24"/>
        </w:rPr>
        <w:t xml:space="preserve"> </w:t>
      </w:r>
      <w:r w:rsidRPr="0037583A">
        <w:rPr>
          <w:rFonts w:ascii="Century" w:hAnsi="Century"/>
          <w:sz w:val="24"/>
          <w:szCs w:val="24"/>
        </w:rPr>
        <w:t xml:space="preserve">at blive hjulpet ud i egen bolig hurtigst muligt med rette hjælp sådan, at borgeren ikke igen ender i hjemløshed. </w:t>
      </w:r>
    </w:p>
    <w:p w14:paraId="23076F94" w14:textId="60D4EEC2" w:rsidR="00033E76" w:rsidRPr="0037583A" w:rsidRDefault="00A72AE3" w:rsidP="00877AFA">
      <w:pPr>
        <w:rPr>
          <w:rFonts w:ascii="Century" w:hAnsi="Century"/>
          <w:sz w:val="24"/>
          <w:szCs w:val="24"/>
        </w:rPr>
      </w:pPr>
      <w:r w:rsidRPr="0037583A">
        <w:rPr>
          <w:rFonts w:ascii="Century" w:hAnsi="Century"/>
          <w:sz w:val="24"/>
          <w:szCs w:val="24"/>
        </w:rPr>
        <w:t>Vedrørende servicelovens §110 har boformens forstander visitationsret. Det vil sige, at borgere kan henvises til en boform</w:t>
      </w:r>
      <w:r w:rsidR="00256FBF" w:rsidRPr="0037583A">
        <w:rPr>
          <w:rFonts w:ascii="Century" w:hAnsi="Century"/>
          <w:sz w:val="24"/>
          <w:szCs w:val="24"/>
        </w:rPr>
        <w:t>,</w:t>
      </w:r>
      <w:r w:rsidRPr="0037583A">
        <w:rPr>
          <w:rFonts w:ascii="Century" w:hAnsi="Century"/>
          <w:sz w:val="24"/>
          <w:szCs w:val="24"/>
        </w:rPr>
        <w:t xml:space="preserve"> men kan også møde op uden visitation gennem offentlig myndighed. </w:t>
      </w:r>
      <w:r w:rsidR="00877AFA" w:rsidRPr="0037583A">
        <w:rPr>
          <w:rFonts w:ascii="Century" w:hAnsi="Century"/>
          <w:sz w:val="24"/>
          <w:szCs w:val="24"/>
        </w:rPr>
        <w:t>Ved henvend</w:t>
      </w:r>
      <w:r w:rsidR="005A397B" w:rsidRPr="0037583A">
        <w:rPr>
          <w:rFonts w:ascii="Century" w:hAnsi="Century"/>
          <w:sz w:val="24"/>
          <w:szCs w:val="24"/>
        </w:rPr>
        <w:t>el</w:t>
      </w:r>
      <w:r w:rsidR="00877AFA" w:rsidRPr="0037583A">
        <w:rPr>
          <w:rFonts w:ascii="Century" w:hAnsi="Century"/>
          <w:sz w:val="24"/>
          <w:szCs w:val="24"/>
        </w:rPr>
        <w:t xml:space="preserve">se til en af </w:t>
      </w:r>
      <w:r w:rsidR="005A397B" w:rsidRPr="0037583A">
        <w:rPr>
          <w:rFonts w:ascii="Century" w:hAnsi="Century"/>
          <w:sz w:val="24"/>
          <w:szCs w:val="24"/>
        </w:rPr>
        <w:t>vores</w:t>
      </w:r>
      <w:r w:rsidR="00877AFA" w:rsidRPr="0037583A">
        <w:rPr>
          <w:rFonts w:ascii="Century" w:hAnsi="Century"/>
          <w:sz w:val="24"/>
          <w:szCs w:val="24"/>
        </w:rPr>
        <w:t xml:space="preserve"> boformer, vil </w:t>
      </w:r>
      <w:r w:rsidR="00B66409">
        <w:rPr>
          <w:rFonts w:ascii="Century" w:hAnsi="Century"/>
          <w:sz w:val="24"/>
          <w:szCs w:val="24"/>
        </w:rPr>
        <w:t xml:space="preserve">indsatsen mod </w:t>
      </w:r>
      <w:r w:rsidR="00877AFA" w:rsidRPr="0037583A">
        <w:rPr>
          <w:rFonts w:ascii="Century" w:hAnsi="Century"/>
          <w:sz w:val="24"/>
          <w:szCs w:val="24"/>
        </w:rPr>
        <w:t>borgeren</w:t>
      </w:r>
      <w:r w:rsidRPr="0037583A">
        <w:rPr>
          <w:rFonts w:ascii="Century" w:hAnsi="Century"/>
          <w:sz w:val="24"/>
          <w:szCs w:val="24"/>
        </w:rPr>
        <w:t>s hjemløshed</w:t>
      </w:r>
      <w:r w:rsidR="00B66409">
        <w:rPr>
          <w:rFonts w:ascii="Century" w:hAnsi="Century"/>
          <w:sz w:val="24"/>
          <w:szCs w:val="24"/>
        </w:rPr>
        <w:t xml:space="preserve"> </w:t>
      </w:r>
      <w:r w:rsidRPr="0037583A">
        <w:rPr>
          <w:rFonts w:ascii="Century" w:hAnsi="Century"/>
          <w:sz w:val="24"/>
          <w:szCs w:val="24"/>
        </w:rPr>
        <w:t>og andre udfordringer i den sammenhæng påbegyndes i løbet af få dage</w:t>
      </w:r>
      <w:r w:rsidR="0093583D" w:rsidRPr="0037583A">
        <w:rPr>
          <w:rFonts w:ascii="Century" w:hAnsi="Century"/>
          <w:sz w:val="24"/>
          <w:szCs w:val="24"/>
        </w:rPr>
        <w:t>.</w:t>
      </w:r>
      <w:r w:rsidR="00CA0262" w:rsidRPr="0037583A">
        <w:rPr>
          <w:rFonts w:ascii="Century" w:hAnsi="Century"/>
          <w:sz w:val="24"/>
          <w:szCs w:val="24"/>
        </w:rPr>
        <w:t xml:space="preserve"> </w:t>
      </w:r>
      <w:r w:rsidR="0093583D" w:rsidRPr="0037583A">
        <w:rPr>
          <w:rFonts w:ascii="Century" w:hAnsi="Century"/>
          <w:sz w:val="24"/>
          <w:szCs w:val="24"/>
        </w:rPr>
        <w:t>Bor</w:t>
      </w:r>
      <w:r w:rsidR="00033E76" w:rsidRPr="0037583A">
        <w:rPr>
          <w:rFonts w:ascii="Century" w:hAnsi="Century"/>
          <w:sz w:val="24"/>
          <w:szCs w:val="24"/>
        </w:rPr>
        <w:t>ger</w:t>
      </w:r>
      <w:r w:rsidR="0093583D" w:rsidRPr="0037583A">
        <w:rPr>
          <w:rFonts w:ascii="Century" w:hAnsi="Century"/>
          <w:sz w:val="24"/>
          <w:szCs w:val="24"/>
        </w:rPr>
        <w:t xml:space="preserve">en </w:t>
      </w:r>
      <w:r w:rsidR="00033E76" w:rsidRPr="0037583A">
        <w:rPr>
          <w:rFonts w:ascii="Century" w:hAnsi="Century"/>
          <w:sz w:val="24"/>
          <w:szCs w:val="24"/>
        </w:rPr>
        <w:t>fortæller, hvad vedkommende mener</w:t>
      </w:r>
      <w:r w:rsidR="00495C24" w:rsidRPr="0037583A">
        <w:rPr>
          <w:rFonts w:ascii="Century" w:hAnsi="Century"/>
          <w:sz w:val="24"/>
          <w:szCs w:val="24"/>
        </w:rPr>
        <w:t xml:space="preserve"> o</w:t>
      </w:r>
      <w:r w:rsidR="008565FB" w:rsidRPr="0037583A">
        <w:rPr>
          <w:rFonts w:ascii="Century" w:hAnsi="Century"/>
          <w:sz w:val="24"/>
          <w:szCs w:val="24"/>
        </w:rPr>
        <w:t>g ønsker,</w:t>
      </w:r>
      <w:r w:rsidR="00033E76" w:rsidRPr="0037583A">
        <w:rPr>
          <w:rFonts w:ascii="Century" w:hAnsi="Century"/>
          <w:sz w:val="24"/>
          <w:szCs w:val="24"/>
        </w:rPr>
        <w:t xml:space="preserve"> der skal til for</w:t>
      </w:r>
      <w:r w:rsidR="0093583D" w:rsidRPr="0037583A">
        <w:rPr>
          <w:rFonts w:ascii="Century" w:hAnsi="Century"/>
          <w:sz w:val="24"/>
          <w:szCs w:val="24"/>
        </w:rPr>
        <w:t xml:space="preserve"> at </w:t>
      </w:r>
      <w:r w:rsidR="00033E76" w:rsidRPr="0037583A">
        <w:rPr>
          <w:rFonts w:ascii="Century" w:hAnsi="Century"/>
          <w:sz w:val="24"/>
          <w:szCs w:val="24"/>
        </w:rPr>
        <w:t>fastholde</w:t>
      </w:r>
      <w:r w:rsidR="0093583D" w:rsidRPr="0037583A">
        <w:rPr>
          <w:rFonts w:ascii="Century" w:hAnsi="Century"/>
          <w:sz w:val="24"/>
          <w:szCs w:val="24"/>
        </w:rPr>
        <w:t xml:space="preserve"> bolig fremadrettet. </w:t>
      </w:r>
      <w:r w:rsidRPr="0037583A">
        <w:rPr>
          <w:rFonts w:ascii="Century" w:hAnsi="Century"/>
          <w:sz w:val="24"/>
          <w:szCs w:val="24"/>
        </w:rPr>
        <w:t xml:space="preserve">Ved udredningen foretages analyse af borgerens hjemløshed, og hvordan hjemløsheden vurderes at kunne brydes og undgås. </w:t>
      </w:r>
    </w:p>
    <w:p w14:paraId="4DC8F85C" w14:textId="726DF8CD" w:rsidR="008565FB" w:rsidRPr="0037583A" w:rsidRDefault="00A72AE3" w:rsidP="00877AFA">
      <w:pPr>
        <w:rPr>
          <w:rFonts w:ascii="Century" w:hAnsi="Century"/>
          <w:sz w:val="24"/>
          <w:szCs w:val="24"/>
        </w:rPr>
      </w:pPr>
      <w:r w:rsidRPr="0037583A">
        <w:rPr>
          <w:rFonts w:ascii="Century" w:hAnsi="Century"/>
          <w:sz w:val="24"/>
          <w:szCs w:val="24"/>
        </w:rPr>
        <w:t>Den såkaldte leverandøru</w:t>
      </w:r>
      <w:r w:rsidR="008565FB" w:rsidRPr="0037583A">
        <w:rPr>
          <w:rFonts w:ascii="Century" w:hAnsi="Century"/>
          <w:sz w:val="24"/>
          <w:szCs w:val="24"/>
        </w:rPr>
        <w:t>dredning sendes til kommunen</w:t>
      </w:r>
      <w:r w:rsidR="00256FBF" w:rsidRPr="0037583A">
        <w:rPr>
          <w:rFonts w:ascii="Century" w:hAnsi="Century"/>
          <w:sz w:val="24"/>
          <w:szCs w:val="24"/>
        </w:rPr>
        <w:t xml:space="preserve"> med det formål at bidrage til kommunens samlede vurdering af borgerens støttebehov i egen bolig i overensstemmelse med Housing First. </w:t>
      </w:r>
      <w:r w:rsidR="008565FB" w:rsidRPr="0037583A">
        <w:rPr>
          <w:rFonts w:ascii="Century" w:hAnsi="Century"/>
          <w:sz w:val="24"/>
          <w:szCs w:val="24"/>
        </w:rPr>
        <w:t xml:space="preserve"> </w:t>
      </w:r>
    </w:p>
    <w:p w14:paraId="439802E4" w14:textId="7434E7E7" w:rsidR="005E25E1" w:rsidRPr="0037583A" w:rsidRDefault="005E25E1" w:rsidP="00877AFA">
      <w:pPr>
        <w:rPr>
          <w:rFonts w:ascii="Century" w:hAnsi="Century"/>
          <w:sz w:val="24"/>
          <w:szCs w:val="24"/>
        </w:rPr>
      </w:pPr>
      <w:r w:rsidRPr="0037583A">
        <w:rPr>
          <w:rFonts w:ascii="Century" w:hAnsi="Century"/>
          <w:sz w:val="24"/>
          <w:szCs w:val="24"/>
        </w:rPr>
        <w:t xml:space="preserve">På baggrund af </w:t>
      </w:r>
      <w:r w:rsidR="00605F5A" w:rsidRPr="0037583A">
        <w:rPr>
          <w:rFonts w:ascii="Century" w:hAnsi="Century"/>
          <w:sz w:val="24"/>
          <w:szCs w:val="24"/>
        </w:rPr>
        <w:t xml:space="preserve">udredningen aftales med borgeren en plan for </w:t>
      </w:r>
      <w:r w:rsidR="00256FBF" w:rsidRPr="0037583A">
        <w:rPr>
          <w:rFonts w:ascii="Century" w:hAnsi="Century"/>
          <w:sz w:val="24"/>
          <w:szCs w:val="24"/>
        </w:rPr>
        <w:t>§110-opholdet.</w:t>
      </w:r>
      <w:r w:rsidR="00605F5A" w:rsidRPr="0037583A">
        <w:rPr>
          <w:rFonts w:ascii="Century" w:hAnsi="Century"/>
          <w:sz w:val="24"/>
          <w:szCs w:val="24"/>
        </w:rPr>
        <w:t xml:space="preserve"> </w:t>
      </w:r>
      <w:r w:rsidR="00C21088" w:rsidRPr="0037583A">
        <w:rPr>
          <w:rFonts w:ascii="Century" w:hAnsi="Century"/>
          <w:sz w:val="24"/>
          <w:szCs w:val="24"/>
        </w:rPr>
        <w:t>Opholdsp</w:t>
      </w:r>
      <w:r w:rsidR="00605F5A" w:rsidRPr="0037583A">
        <w:rPr>
          <w:rFonts w:ascii="Century" w:hAnsi="Century"/>
          <w:sz w:val="24"/>
          <w:szCs w:val="24"/>
        </w:rPr>
        <w:t>lanen indeholder aftaler om</w:t>
      </w:r>
      <w:r w:rsidR="008565FB" w:rsidRPr="0037583A">
        <w:rPr>
          <w:rFonts w:ascii="Century" w:hAnsi="Century"/>
          <w:sz w:val="24"/>
          <w:szCs w:val="24"/>
        </w:rPr>
        <w:t xml:space="preserve"> eventuelle</w:t>
      </w:r>
      <w:r w:rsidR="00605F5A" w:rsidRPr="0037583A">
        <w:rPr>
          <w:rFonts w:ascii="Century" w:hAnsi="Century"/>
          <w:sz w:val="24"/>
          <w:szCs w:val="24"/>
        </w:rPr>
        <w:t xml:space="preserve"> indsatser i sociale og sundhedssektorer</w:t>
      </w:r>
      <w:r w:rsidR="008565FB" w:rsidRPr="0037583A">
        <w:rPr>
          <w:rFonts w:ascii="Century" w:hAnsi="Century"/>
          <w:sz w:val="24"/>
          <w:szCs w:val="24"/>
        </w:rPr>
        <w:t>ne</w:t>
      </w:r>
      <w:r w:rsidR="00A62B90" w:rsidRPr="0037583A">
        <w:rPr>
          <w:rFonts w:ascii="Century" w:hAnsi="Century"/>
          <w:sz w:val="24"/>
          <w:szCs w:val="24"/>
        </w:rPr>
        <w:t xml:space="preserve">, </w:t>
      </w:r>
      <w:r w:rsidR="00605F5A" w:rsidRPr="0037583A">
        <w:rPr>
          <w:rFonts w:ascii="Century" w:hAnsi="Century"/>
          <w:sz w:val="24"/>
          <w:szCs w:val="24"/>
        </w:rPr>
        <w:t>der skal igangsættes eller fortsætte. Derudover indeholder opholdsplanen</w:t>
      </w:r>
      <w:r w:rsidR="00A62B90" w:rsidRPr="0037583A">
        <w:rPr>
          <w:rFonts w:ascii="Century" w:hAnsi="Century"/>
          <w:sz w:val="24"/>
          <w:szCs w:val="24"/>
        </w:rPr>
        <w:t xml:space="preserve"> </w:t>
      </w:r>
      <w:r w:rsidR="008565FB" w:rsidRPr="0037583A">
        <w:rPr>
          <w:rFonts w:ascii="Century" w:hAnsi="Century"/>
          <w:sz w:val="24"/>
          <w:szCs w:val="24"/>
        </w:rPr>
        <w:t>rehabilitering</w:t>
      </w:r>
      <w:r w:rsidR="0093583D" w:rsidRPr="0037583A">
        <w:rPr>
          <w:rFonts w:ascii="Century" w:hAnsi="Century"/>
          <w:sz w:val="24"/>
          <w:szCs w:val="24"/>
        </w:rPr>
        <w:t xml:space="preserve"> </w:t>
      </w:r>
      <w:r w:rsidR="008565FB" w:rsidRPr="0037583A">
        <w:rPr>
          <w:rFonts w:ascii="Century" w:hAnsi="Century"/>
          <w:sz w:val="24"/>
          <w:szCs w:val="24"/>
        </w:rPr>
        <w:t>under opholdet</w:t>
      </w:r>
      <w:r w:rsidR="00A62B90" w:rsidRPr="0037583A">
        <w:rPr>
          <w:rFonts w:ascii="Century" w:hAnsi="Century"/>
          <w:sz w:val="24"/>
          <w:szCs w:val="24"/>
        </w:rPr>
        <w:t xml:space="preserve">. Med de forskellige emner i opholdsplanen laves mål og delmål med opfølgning inden for </w:t>
      </w:r>
      <w:r w:rsidR="00495C24" w:rsidRPr="0037583A">
        <w:rPr>
          <w:rFonts w:ascii="Century" w:hAnsi="Century"/>
          <w:sz w:val="24"/>
          <w:szCs w:val="24"/>
        </w:rPr>
        <w:t>aftalte</w:t>
      </w:r>
      <w:r w:rsidR="00A62B90" w:rsidRPr="0037583A">
        <w:rPr>
          <w:rFonts w:ascii="Century" w:hAnsi="Century"/>
          <w:sz w:val="24"/>
          <w:szCs w:val="24"/>
        </w:rPr>
        <w:t xml:space="preserve"> tidsintervaller. </w:t>
      </w:r>
    </w:p>
    <w:p w14:paraId="2CB19051" w14:textId="7D999C7B" w:rsidR="006F2EAC" w:rsidRDefault="006F2EAC" w:rsidP="00877AFA">
      <w:pPr>
        <w:rPr>
          <w:rFonts w:ascii="Century" w:hAnsi="Century"/>
          <w:sz w:val="24"/>
          <w:szCs w:val="24"/>
        </w:rPr>
      </w:pPr>
      <w:r w:rsidRPr="0037583A">
        <w:rPr>
          <w:rFonts w:ascii="Century" w:hAnsi="Century"/>
          <w:sz w:val="24"/>
          <w:szCs w:val="24"/>
        </w:rPr>
        <w:t xml:space="preserve">Under hele opholdet har boformen et kontinuerligt samarbejde med borgerens hjemkommune. Boformen sørger for systematisk at give kommunen rette oplysninger om borgeren og på den måde hjælpe borgeren til egen bolig med rette støtte hurtigst muligt. </w:t>
      </w:r>
    </w:p>
    <w:p w14:paraId="60FBD323" w14:textId="47FB1225" w:rsidR="00B66409" w:rsidRDefault="00B66409" w:rsidP="00B66409">
      <w:pPr>
        <w:spacing w:after="0"/>
        <w:rPr>
          <w:rFonts w:ascii="Century" w:hAnsi="Century"/>
          <w:sz w:val="24"/>
          <w:szCs w:val="24"/>
          <w:u w:val="single"/>
        </w:rPr>
      </w:pPr>
      <w:r>
        <w:rPr>
          <w:rFonts w:ascii="Century" w:hAnsi="Century"/>
          <w:sz w:val="24"/>
          <w:szCs w:val="24"/>
          <w:u w:val="single"/>
        </w:rPr>
        <w:t xml:space="preserve">Efterforsorg </w:t>
      </w:r>
    </w:p>
    <w:p w14:paraId="3009CF42" w14:textId="1DCDF2AB" w:rsidR="00682A41" w:rsidRDefault="00682A41" w:rsidP="00B66409">
      <w:pPr>
        <w:spacing w:after="0"/>
        <w:rPr>
          <w:rFonts w:ascii="Century" w:hAnsi="Century"/>
          <w:sz w:val="24"/>
          <w:szCs w:val="24"/>
        </w:rPr>
      </w:pPr>
      <w:r>
        <w:rPr>
          <w:rFonts w:ascii="Century" w:hAnsi="Century"/>
          <w:sz w:val="24"/>
          <w:szCs w:val="24"/>
        </w:rPr>
        <w:t>Fra ud</w:t>
      </w:r>
      <w:r w:rsidR="00B66409">
        <w:rPr>
          <w:rFonts w:ascii="Century" w:hAnsi="Century"/>
          <w:sz w:val="24"/>
          <w:szCs w:val="24"/>
        </w:rPr>
        <w:t xml:space="preserve">flytning og første tid efter ophold på boformen kan borgere tilbydes efterforsorg. Efterforsorgen har </w:t>
      </w:r>
      <w:r>
        <w:rPr>
          <w:rFonts w:ascii="Century" w:hAnsi="Century"/>
          <w:sz w:val="24"/>
          <w:szCs w:val="24"/>
        </w:rPr>
        <w:t xml:space="preserve">f.eks. </w:t>
      </w:r>
      <w:r w:rsidR="00B66409">
        <w:rPr>
          <w:rFonts w:ascii="Century" w:hAnsi="Century"/>
          <w:sz w:val="24"/>
          <w:szCs w:val="24"/>
        </w:rPr>
        <w:t>til hensigt at hjælpe borgeren med flytni</w:t>
      </w:r>
      <w:r>
        <w:rPr>
          <w:rFonts w:ascii="Century" w:hAnsi="Century"/>
          <w:sz w:val="24"/>
          <w:szCs w:val="24"/>
        </w:rPr>
        <w:t xml:space="preserve">ngen, indkøb af boligartikler og indretning. Derudover skal efterforsorgen være en støtte til borgeren om at blive tryg i boligen og i de nye omgivelser, herunder evt. søge nye fællesskaber. </w:t>
      </w:r>
    </w:p>
    <w:p w14:paraId="00E34E16" w14:textId="2B374BCE" w:rsidR="00682A41" w:rsidRDefault="00682A41" w:rsidP="00B66409">
      <w:pPr>
        <w:spacing w:after="0"/>
        <w:rPr>
          <w:rFonts w:ascii="Century" w:hAnsi="Century"/>
          <w:sz w:val="24"/>
          <w:szCs w:val="24"/>
        </w:rPr>
      </w:pPr>
    </w:p>
    <w:p w14:paraId="0363DEF4" w14:textId="5A570FC6" w:rsidR="00682A41" w:rsidRDefault="00682A41" w:rsidP="00B66409">
      <w:pPr>
        <w:spacing w:after="0"/>
        <w:rPr>
          <w:rFonts w:ascii="Century" w:hAnsi="Century"/>
          <w:sz w:val="24"/>
          <w:szCs w:val="24"/>
          <w:u w:val="single"/>
        </w:rPr>
      </w:pPr>
      <w:bookmarkStart w:id="0" w:name="_Hlk62443388"/>
      <w:r>
        <w:rPr>
          <w:rFonts w:ascii="Century" w:hAnsi="Century"/>
          <w:sz w:val="24"/>
          <w:szCs w:val="24"/>
          <w:u w:val="single"/>
        </w:rPr>
        <w:t>Bostøtte</w:t>
      </w:r>
    </w:p>
    <w:p w14:paraId="590516AA" w14:textId="161AE402" w:rsidR="00682A41" w:rsidRPr="00682A41" w:rsidRDefault="00682A41" w:rsidP="00B66409">
      <w:pPr>
        <w:spacing w:after="0"/>
        <w:rPr>
          <w:rFonts w:ascii="Century" w:hAnsi="Century"/>
          <w:sz w:val="24"/>
          <w:szCs w:val="24"/>
        </w:rPr>
      </w:pPr>
      <w:r>
        <w:rPr>
          <w:rFonts w:ascii="Century" w:hAnsi="Century"/>
          <w:sz w:val="24"/>
          <w:szCs w:val="24"/>
        </w:rPr>
        <w:t xml:space="preserve">I henhold til servicelovens §83 eller 85 skal borgere med særlige behov tilbydes bostøtte i forbindelse med ophold i egen bolig. Boformer kan tilbyde at være leverandører af sådanne bostøtteordninger tilpasset </w:t>
      </w:r>
      <w:proofErr w:type="gramStart"/>
      <w:r>
        <w:rPr>
          <w:rFonts w:ascii="Century" w:hAnsi="Century"/>
          <w:sz w:val="24"/>
          <w:szCs w:val="24"/>
        </w:rPr>
        <w:t>den</w:t>
      </w:r>
      <w:proofErr w:type="gramEnd"/>
      <w:r>
        <w:rPr>
          <w:rFonts w:ascii="Century" w:hAnsi="Century"/>
          <w:sz w:val="24"/>
          <w:szCs w:val="24"/>
        </w:rPr>
        <w:t xml:space="preserve"> enkelte borgere. bostøtten er uddannet i de bostøttemetoder, som fremgår af Housing First indsatsen jf. nationale retningslinjer. </w:t>
      </w:r>
    </w:p>
    <w:bookmarkEnd w:id="0"/>
    <w:p w14:paraId="36010D43" w14:textId="77777777" w:rsidR="00682A41" w:rsidRDefault="00682A41" w:rsidP="00B66409">
      <w:pPr>
        <w:spacing w:after="0"/>
        <w:rPr>
          <w:rFonts w:ascii="Century" w:hAnsi="Century"/>
          <w:sz w:val="24"/>
          <w:szCs w:val="24"/>
        </w:rPr>
      </w:pPr>
    </w:p>
    <w:p w14:paraId="05F3FDAC" w14:textId="5C087765" w:rsidR="00B66409" w:rsidRPr="00682A41" w:rsidRDefault="005C142A" w:rsidP="00B66409">
      <w:pPr>
        <w:spacing w:after="0"/>
        <w:rPr>
          <w:rFonts w:ascii="Century" w:hAnsi="Century"/>
          <w:sz w:val="24"/>
          <w:szCs w:val="24"/>
          <w:u w:val="single"/>
        </w:rPr>
      </w:pPr>
      <w:r>
        <w:rPr>
          <w:rFonts w:ascii="Century" w:hAnsi="Century"/>
          <w:sz w:val="24"/>
          <w:szCs w:val="24"/>
          <w:u w:val="single"/>
        </w:rPr>
        <w:t xml:space="preserve">Fagligt </w:t>
      </w:r>
      <w:r w:rsidR="00682A41" w:rsidRPr="00682A41">
        <w:rPr>
          <w:rFonts w:ascii="Century" w:hAnsi="Century"/>
          <w:sz w:val="24"/>
          <w:szCs w:val="24"/>
          <w:u w:val="single"/>
        </w:rPr>
        <w:t xml:space="preserve">grundlag </w:t>
      </w:r>
    </w:p>
    <w:p w14:paraId="032BC5E6" w14:textId="780D0572" w:rsidR="00A83C35" w:rsidRDefault="00A62B90" w:rsidP="00877AFA">
      <w:pPr>
        <w:rPr>
          <w:rFonts w:ascii="Century" w:hAnsi="Century"/>
          <w:sz w:val="24"/>
          <w:szCs w:val="24"/>
        </w:rPr>
      </w:pPr>
      <w:bookmarkStart w:id="1" w:name="_Hlk62443137"/>
      <w:bookmarkStart w:id="2" w:name="_Hlk62443996"/>
      <w:r w:rsidRPr="0037583A">
        <w:rPr>
          <w:rFonts w:ascii="Century" w:hAnsi="Century"/>
          <w:sz w:val="24"/>
          <w:szCs w:val="24"/>
        </w:rPr>
        <w:lastRenderedPageBreak/>
        <w:t>Opholdet</w:t>
      </w:r>
      <w:r w:rsidR="00682A41">
        <w:rPr>
          <w:rFonts w:ascii="Century" w:hAnsi="Century"/>
          <w:sz w:val="24"/>
          <w:szCs w:val="24"/>
        </w:rPr>
        <w:t xml:space="preserve"> på hjemløshedsboformen og følgende indsats</w:t>
      </w:r>
      <w:r w:rsidRPr="0037583A">
        <w:rPr>
          <w:rFonts w:ascii="Century" w:hAnsi="Century"/>
          <w:sz w:val="24"/>
          <w:szCs w:val="24"/>
        </w:rPr>
        <w:t xml:space="preserve"> skal ses som indeholdende rehabiliterende tiltag med henblik på borgerens </w:t>
      </w:r>
      <w:proofErr w:type="spellStart"/>
      <w:r w:rsidRPr="0037583A">
        <w:rPr>
          <w:rFonts w:ascii="Century" w:hAnsi="Century"/>
          <w:sz w:val="24"/>
          <w:szCs w:val="24"/>
        </w:rPr>
        <w:t>recovery</w:t>
      </w:r>
      <w:proofErr w:type="spellEnd"/>
      <w:r w:rsidR="00A83C35">
        <w:rPr>
          <w:rFonts w:ascii="Century" w:hAnsi="Century"/>
          <w:sz w:val="24"/>
          <w:szCs w:val="24"/>
        </w:rPr>
        <w:t xml:space="preserve"> - </w:t>
      </w:r>
      <w:hyperlink r:id="rId4" w:history="1">
        <w:r w:rsidR="00A83C35" w:rsidRPr="0053438C">
          <w:rPr>
            <w:rStyle w:val="Hyperlink"/>
            <w:rFonts w:ascii="Century" w:hAnsi="Century"/>
            <w:sz w:val="24"/>
            <w:szCs w:val="24"/>
          </w:rPr>
          <w:t>http://www.blaakors.dk/sites/blaakors.dk/files/2021-01/Faglig%20beskrivelse%20-%20socialfaglig%20tilgang.docx</w:t>
        </w:r>
      </w:hyperlink>
    </w:p>
    <w:p w14:paraId="0CF9DF93" w14:textId="2869F013" w:rsidR="00A62B90" w:rsidRDefault="00495C24" w:rsidP="00877AFA">
      <w:pPr>
        <w:rPr>
          <w:rFonts w:ascii="Century" w:hAnsi="Century"/>
          <w:sz w:val="24"/>
          <w:szCs w:val="24"/>
        </w:rPr>
      </w:pPr>
      <w:r w:rsidRPr="0037583A">
        <w:rPr>
          <w:rFonts w:ascii="Century" w:hAnsi="Century"/>
          <w:sz w:val="24"/>
          <w:szCs w:val="24"/>
        </w:rPr>
        <w:t>De</w:t>
      </w:r>
      <w:r w:rsidR="00256FBF" w:rsidRPr="0037583A">
        <w:rPr>
          <w:rFonts w:ascii="Century" w:hAnsi="Century"/>
          <w:sz w:val="24"/>
          <w:szCs w:val="24"/>
        </w:rPr>
        <w:t xml:space="preserve">r er tale om </w:t>
      </w:r>
      <w:r w:rsidRPr="0037583A">
        <w:rPr>
          <w:rFonts w:ascii="Century" w:hAnsi="Century"/>
          <w:sz w:val="24"/>
          <w:szCs w:val="24"/>
        </w:rPr>
        <w:t>et aktivt</w:t>
      </w:r>
      <w:r w:rsidR="00682A41">
        <w:rPr>
          <w:rFonts w:ascii="Century" w:hAnsi="Century"/>
          <w:sz w:val="24"/>
          <w:szCs w:val="24"/>
        </w:rPr>
        <w:t xml:space="preserve"> forløb</w:t>
      </w:r>
      <w:r w:rsidR="00256FBF" w:rsidRPr="0037583A">
        <w:rPr>
          <w:rFonts w:ascii="Century" w:hAnsi="Century"/>
          <w:sz w:val="24"/>
          <w:szCs w:val="24"/>
        </w:rPr>
        <w:t xml:space="preserve">, som </w:t>
      </w:r>
      <w:r w:rsidR="008565FB" w:rsidRPr="0037583A">
        <w:rPr>
          <w:rFonts w:ascii="Century" w:hAnsi="Century"/>
          <w:sz w:val="24"/>
          <w:szCs w:val="24"/>
        </w:rPr>
        <w:t xml:space="preserve">skal ses </w:t>
      </w:r>
      <w:r w:rsidR="00256FBF" w:rsidRPr="0037583A">
        <w:rPr>
          <w:rFonts w:ascii="Century" w:hAnsi="Century"/>
          <w:sz w:val="24"/>
          <w:szCs w:val="24"/>
        </w:rPr>
        <w:t xml:space="preserve">som </w:t>
      </w:r>
      <w:r w:rsidR="008565FB" w:rsidRPr="0037583A">
        <w:rPr>
          <w:rFonts w:ascii="Century" w:hAnsi="Century"/>
          <w:sz w:val="24"/>
          <w:szCs w:val="24"/>
        </w:rPr>
        <w:t xml:space="preserve">en del-indsats i </w:t>
      </w:r>
      <w:r w:rsidR="00256FBF" w:rsidRPr="0037583A">
        <w:rPr>
          <w:rFonts w:ascii="Century" w:hAnsi="Century"/>
          <w:sz w:val="24"/>
          <w:szCs w:val="24"/>
        </w:rPr>
        <w:t>den kommunalt koordinerende samlede hjemløshedsindsats for den enkelte borger.</w:t>
      </w:r>
    </w:p>
    <w:p w14:paraId="6A08A47D" w14:textId="6103C387" w:rsidR="005C142A" w:rsidRPr="005C142A" w:rsidRDefault="005C142A" w:rsidP="005C142A">
      <w:pPr>
        <w:spacing w:after="0"/>
        <w:rPr>
          <w:rFonts w:ascii="Century" w:hAnsi="Century"/>
          <w:sz w:val="24"/>
          <w:szCs w:val="24"/>
          <w:u w:val="single"/>
        </w:rPr>
      </w:pPr>
      <w:bookmarkStart w:id="3" w:name="_Hlk62444279"/>
      <w:bookmarkEnd w:id="1"/>
      <w:r>
        <w:rPr>
          <w:rFonts w:ascii="Century" w:hAnsi="Century"/>
          <w:sz w:val="24"/>
          <w:szCs w:val="24"/>
          <w:u w:val="single"/>
        </w:rPr>
        <w:t>Værdigrundlag</w:t>
      </w:r>
    </w:p>
    <w:p w14:paraId="017C955E" w14:textId="4BD94A6A" w:rsidR="00B66409" w:rsidRPr="00A83C35" w:rsidRDefault="00B66409" w:rsidP="005C142A">
      <w:pPr>
        <w:spacing w:after="0"/>
        <w:rPr>
          <w:rFonts w:ascii="Century" w:hAnsi="Century"/>
          <w:sz w:val="24"/>
          <w:szCs w:val="24"/>
        </w:rPr>
      </w:pPr>
      <w:r w:rsidRPr="00A83C35">
        <w:rPr>
          <w:rFonts w:ascii="Century" w:hAnsi="Century"/>
          <w:sz w:val="24"/>
          <w:szCs w:val="24"/>
        </w:rPr>
        <w:t xml:space="preserve">Hjemløshedsindsatsen har sit udgangspunkt </w:t>
      </w:r>
      <w:r w:rsidR="00682A41" w:rsidRPr="00A83C35">
        <w:rPr>
          <w:rFonts w:ascii="Century" w:hAnsi="Century"/>
          <w:sz w:val="24"/>
          <w:szCs w:val="24"/>
        </w:rPr>
        <w:t>i</w:t>
      </w:r>
      <w:r w:rsidRPr="00A83C35">
        <w:rPr>
          <w:rFonts w:ascii="Century" w:hAnsi="Century"/>
          <w:sz w:val="24"/>
          <w:szCs w:val="24"/>
        </w:rPr>
        <w:t xml:space="preserve"> Blå Kors´ diakonale grundlag </w:t>
      </w:r>
      <w:hyperlink r:id="rId5" w:history="1">
        <w:r w:rsidRPr="00A83C35">
          <w:rPr>
            <w:rStyle w:val="Hyperlink"/>
            <w:rFonts w:ascii="Century" w:eastAsia="Times New Roman" w:hAnsi="Century"/>
            <w:sz w:val="24"/>
            <w:szCs w:val="24"/>
          </w:rPr>
          <w:t>https://www.blaakors.dk/sites/blaakors.dk/files/2020-03/diakoni_og_menneskesyn.pdf</w:t>
        </w:r>
      </w:hyperlink>
    </w:p>
    <w:p w14:paraId="4BF57C1D" w14:textId="11F29045" w:rsidR="00605F5A" w:rsidRPr="00A83C35" w:rsidRDefault="005E25E1" w:rsidP="00877AFA">
      <w:pPr>
        <w:rPr>
          <w:rFonts w:ascii="Century" w:hAnsi="Century"/>
          <w:sz w:val="24"/>
          <w:szCs w:val="24"/>
        </w:rPr>
      </w:pPr>
      <w:r w:rsidRPr="00A83C35">
        <w:rPr>
          <w:rFonts w:ascii="Century" w:hAnsi="Century"/>
          <w:sz w:val="24"/>
          <w:szCs w:val="24"/>
        </w:rPr>
        <w:t xml:space="preserve"> </w:t>
      </w:r>
      <w:bookmarkEnd w:id="2"/>
      <w:bookmarkEnd w:id="3"/>
    </w:p>
    <w:sectPr w:rsidR="00605F5A" w:rsidRPr="00A83C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FA"/>
    <w:rsid w:val="00033E76"/>
    <w:rsid w:val="000B2A5C"/>
    <w:rsid w:val="00146BEB"/>
    <w:rsid w:val="00195645"/>
    <w:rsid w:val="00256FBF"/>
    <w:rsid w:val="0037583A"/>
    <w:rsid w:val="00495C24"/>
    <w:rsid w:val="005A397B"/>
    <w:rsid w:val="005C142A"/>
    <w:rsid w:val="005E25E1"/>
    <w:rsid w:val="00605F5A"/>
    <w:rsid w:val="00682A41"/>
    <w:rsid w:val="006F2EAC"/>
    <w:rsid w:val="007E5DD4"/>
    <w:rsid w:val="008565FB"/>
    <w:rsid w:val="00877AFA"/>
    <w:rsid w:val="008F22B5"/>
    <w:rsid w:val="0093583D"/>
    <w:rsid w:val="00A62B90"/>
    <w:rsid w:val="00A72AE3"/>
    <w:rsid w:val="00A83C35"/>
    <w:rsid w:val="00AA783C"/>
    <w:rsid w:val="00B66409"/>
    <w:rsid w:val="00C21088"/>
    <w:rsid w:val="00CA0262"/>
    <w:rsid w:val="00D85D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FD73"/>
  <w15:chartTrackingRefBased/>
  <w15:docId w15:val="{FF75C58B-CF78-465E-875F-6726E911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F2EAC"/>
    <w:rPr>
      <w:color w:val="0563C1" w:themeColor="hyperlink"/>
      <w:u w:val="single"/>
    </w:rPr>
  </w:style>
  <w:style w:type="character" w:styleId="Ulstomtale">
    <w:name w:val="Unresolved Mention"/>
    <w:basedOn w:val="Standardskrifttypeiafsnit"/>
    <w:uiPriority w:val="99"/>
    <w:semiHidden/>
    <w:unhideWhenUsed/>
    <w:rsid w:val="006F2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aakors.dk/sites/blaakors.dk/files/2020-03/diakoni_og_menneskesyn.pdf" TargetMode="External"/><Relationship Id="rId4" Type="http://schemas.openxmlformats.org/officeDocument/2006/relationships/hyperlink" Target="http://www.blaakors.dk/sites/blaakors.dk/files/2021-01/Faglig%20beskrivelse%20-%20socialfaglig%20tilgang.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Trans</dc:creator>
  <cp:keywords/>
  <dc:description/>
  <cp:lastModifiedBy>Anette Helligsø</cp:lastModifiedBy>
  <cp:revision>3</cp:revision>
  <dcterms:created xsi:type="dcterms:W3CDTF">2021-02-15T07:15:00Z</dcterms:created>
  <dcterms:modified xsi:type="dcterms:W3CDTF">2021-02-15T07:18:00Z</dcterms:modified>
</cp:coreProperties>
</file>