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7CEA" w14:textId="69EBBE2B" w:rsidR="00986365" w:rsidRPr="00080B19" w:rsidRDefault="00B5543C" w:rsidP="00B5543C">
      <w:pPr>
        <w:jc w:val="center"/>
        <w:rPr>
          <w:rFonts w:ascii="Century" w:hAnsi="Century"/>
          <w:sz w:val="24"/>
          <w:szCs w:val="24"/>
        </w:rPr>
      </w:pPr>
      <w:r w:rsidRPr="00080B19">
        <w:rPr>
          <w:rFonts w:ascii="Century" w:hAnsi="Century"/>
          <w:sz w:val="24"/>
          <w:szCs w:val="24"/>
        </w:rPr>
        <w:t>Boformer efter Servicelovens §§107 og 108</w:t>
      </w:r>
    </w:p>
    <w:p w14:paraId="13EB755B" w14:textId="24EEA69F" w:rsidR="00B5543C" w:rsidRPr="00080B19" w:rsidRDefault="00B5543C">
      <w:pPr>
        <w:rPr>
          <w:rFonts w:ascii="Century" w:hAnsi="Century"/>
          <w:sz w:val="24"/>
          <w:szCs w:val="24"/>
        </w:rPr>
      </w:pPr>
      <w:r w:rsidRPr="00080B19">
        <w:rPr>
          <w:rFonts w:ascii="Century" w:hAnsi="Century"/>
          <w:sz w:val="24"/>
          <w:szCs w:val="24"/>
        </w:rPr>
        <w:t xml:space="preserve">Blå Kors har </w:t>
      </w:r>
      <w:r w:rsidR="00FF635E">
        <w:rPr>
          <w:rFonts w:ascii="Century" w:hAnsi="Century"/>
          <w:sz w:val="24"/>
          <w:szCs w:val="24"/>
        </w:rPr>
        <w:t>7</w:t>
      </w:r>
      <w:r w:rsidRPr="00080B19">
        <w:rPr>
          <w:rFonts w:ascii="Century" w:hAnsi="Century"/>
          <w:sz w:val="24"/>
          <w:szCs w:val="24"/>
        </w:rPr>
        <w:t xml:space="preserve"> boformer, som gennem årtier har specialiseret sig i døgntilbud til voksne, som over længere tid har brug for stabilitet, pleje, omsorg og hjælp til at klare hverdagen. </w:t>
      </w:r>
    </w:p>
    <w:p w14:paraId="33E2C993" w14:textId="636DB9B0" w:rsidR="00B5543C" w:rsidRPr="00080B19" w:rsidRDefault="00B5543C" w:rsidP="00B5543C">
      <w:pPr>
        <w:spacing w:after="0"/>
        <w:rPr>
          <w:rFonts w:ascii="Century" w:hAnsi="Century"/>
          <w:sz w:val="24"/>
          <w:szCs w:val="24"/>
          <w:u w:val="single"/>
        </w:rPr>
      </w:pPr>
      <w:r w:rsidRPr="00080B19">
        <w:rPr>
          <w:rFonts w:ascii="Century" w:hAnsi="Century"/>
          <w:sz w:val="24"/>
          <w:szCs w:val="24"/>
          <w:u w:val="single"/>
        </w:rPr>
        <w:t>§108</w:t>
      </w:r>
    </w:p>
    <w:p w14:paraId="02EAD6F0" w14:textId="33127450" w:rsidR="00B5543C" w:rsidRPr="00080B19" w:rsidRDefault="00B5543C" w:rsidP="00B5543C">
      <w:pPr>
        <w:spacing w:after="0"/>
        <w:rPr>
          <w:rFonts w:ascii="Century" w:hAnsi="Century"/>
          <w:sz w:val="24"/>
          <w:szCs w:val="24"/>
        </w:rPr>
      </w:pPr>
      <w:r w:rsidRPr="00080B19">
        <w:rPr>
          <w:rFonts w:ascii="Century" w:hAnsi="Century"/>
          <w:sz w:val="24"/>
          <w:szCs w:val="24"/>
        </w:rPr>
        <w:t>Voksne</w:t>
      </w:r>
      <w:r w:rsidR="002A4A75" w:rsidRPr="00080B19">
        <w:rPr>
          <w:rFonts w:ascii="Century" w:hAnsi="Century"/>
          <w:sz w:val="24"/>
          <w:szCs w:val="24"/>
        </w:rPr>
        <w:t>,</w:t>
      </w:r>
      <w:r w:rsidRPr="00080B19">
        <w:rPr>
          <w:rFonts w:ascii="Century" w:hAnsi="Century"/>
          <w:sz w:val="24"/>
          <w:szCs w:val="24"/>
        </w:rPr>
        <w:t xml:space="preserve"> som har levet et hårdt liv i misbrug, hjemløshed</w:t>
      </w:r>
      <w:r w:rsidR="005C0886" w:rsidRPr="00080B19">
        <w:rPr>
          <w:rFonts w:ascii="Century" w:hAnsi="Century"/>
          <w:sz w:val="24"/>
          <w:szCs w:val="24"/>
        </w:rPr>
        <w:t>, kriminalitet</w:t>
      </w:r>
      <w:r w:rsidR="00080B19" w:rsidRPr="00080B19">
        <w:rPr>
          <w:rFonts w:ascii="Century" w:hAnsi="Century"/>
          <w:sz w:val="24"/>
          <w:szCs w:val="24"/>
        </w:rPr>
        <w:t>, psykisk lidelse</w:t>
      </w:r>
      <w:r w:rsidR="005C0886" w:rsidRPr="00080B19">
        <w:rPr>
          <w:rFonts w:ascii="Century" w:hAnsi="Century"/>
          <w:sz w:val="24"/>
          <w:szCs w:val="24"/>
        </w:rPr>
        <w:t xml:space="preserve"> etc.</w:t>
      </w:r>
      <w:r w:rsidR="002A4A75" w:rsidRPr="00080B19">
        <w:rPr>
          <w:rFonts w:ascii="Century" w:hAnsi="Century"/>
          <w:sz w:val="24"/>
          <w:szCs w:val="24"/>
        </w:rPr>
        <w:t>,</w:t>
      </w:r>
      <w:r w:rsidRPr="00080B19">
        <w:rPr>
          <w:rFonts w:ascii="Century" w:hAnsi="Century"/>
          <w:sz w:val="24"/>
          <w:szCs w:val="24"/>
        </w:rPr>
        <w:t xml:space="preserve"> kan være medtaget så voldsomt, at det ikke er muligt for dem at klare sig i egen </w:t>
      </w:r>
      <w:proofErr w:type="gramStart"/>
      <w:r w:rsidRPr="00080B19">
        <w:rPr>
          <w:rFonts w:ascii="Century" w:hAnsi="Century"/>
          <w:sz w:val="24"/>
          <w:szCs w:val="24"/>
        </w:rPr>
        <w:t>bolig</w:t>
      </w:r>
      <w:proofErr w:type="gramEnd"/>
      <w:r w:rsidRPr="00080B19">
        <w:rPr>
          <w:rFonts w:ascii="Century" w:hAnsi="Century"/>
          <w:sz w:val="24"/>
          <w:szCs w:val="24"/>
        </w:rPr>
        <w:t xml:space="preserve"> men har brug for pleje og omsorg fra socialarbejdere og sundhedspersonale for at blive guidet gennem hverdagen med henblik på at opbygge eller opretholde en vis værdig livsførelse. </w:t>
      </w:r>
    </w:p>
    <w:p w14:paraId="142A5D4E" w14:textId="4838F5A1" w:rsidR="00B5543C" w:rsidRPr="00080B19" w:rsidRDefault="002A4A75" w:rsidP="002A4A75">
      <w:pPr>
        <w:spacing w:after="0"/>
        <w:rPr>
          <w:rFonts w:ascii="Century" w:hAnsi="Century"/>
          <w:sz w:val="24"/>
          <w:szCs w:val="24"/>
        </w:rPr>
      </w:pPr>
      <w:r w:rsidRPr="00080B19">
        <w:rPr>
          <w:rFonts w:ascii="Century" w:hAnsi="Century"/>
          <w:sz w:val="24"/>
          <w:szCs w:val="24"/>
        </w:rPr>
        <w:t xml:space="preserve">Trods social og helbredsmæssig bedring er der for en stor del af denne målgruppe tvivlsomt, om de bliver parate til at komme i egen bolig. </w:t>
      </w:r>
      <w:r w:rsidR="00080B19" w:rsidRPr="00080B19">
        <w:rPr>
          <w:rFonts w:ascii="Century" w:hAnsi="Century"/>
          <w:sz w:val="24"/>
          <w:szCs w:val="24"/>
        </w:rPr>
        <w:t xml:space="preserve">Det kan netop være de institutionelle forhold, som stabiliserer livet for dem. </w:t>
      </w:r>
    </w:p>
    <w:p w14:paraId="4042D236" w14:textId="77777777" w:rsidR="002A4A75" w:rsidRPr="00080B19" w:rsidRDefault="002A4A75" w:rsidP="002A4A75">
      <w:pPr>
        <w:spacing w:after="0"/>
        <w:rPr>
          <w:rFonts w:ascii="Century" w:hAnsi="Century"/>
          <w:sz w:val="24"/>
          <w:szCs w:val="24"/>
        </w:rPr>
      </w:pPr>
    </w:p>
    <w:p w14:paraId="2134E093" w14:textId="7A978BCC" w:rsidR="005C0886" w:rsidRPr="00080B19" w:rsidRDefault="005C0886" w:rsidP="002A4A75">
      <w:pPr>
        <w:spacing w:after="0"/>
        <w:rPr>
          <w:rFonts w:ascii="Century" w:hAnsi="Century"/>
          <w:sz w:val="24"/>
          <w:szCs w:val="24"/>
          <w:u w:val="single"/>
        </w:rPr>
      </w:pPr>
      <w:r w:rsidRPr="00080B19">
        <w:rPr>
          <w:rFonts w:ascii="Century" w:hAnsi="Century"/>
          <w:sz w:val="24"/>
          <w:szCs w:val="24"/>
          <w:u w:val="single"/>
        </w:rPr>
        <w:t>§107</w:t>
      </w:r>
    </w:p>
    <w:p w14:paraId="22DB06D3" w14:textId="66FA3281" w:rsidR="005C0886" w:rsidRPr="00080B19" w:rsidRDefault="005C0886" w:rsidP="002A4A75">
      <w:pPr>
        <w:spacing w:after="0"/>
        <w:rPr>
          <w:rFonts w:ascii="Century" w:hAnsi="Century"/>
          <w:sz w:val="24"/>
          <w:szCs w:val="24"/>
        </w:rPr>
      </w:pPr>
      <w:r w:rsidRPr="00080B19">
        <w:rPr>
          <w:rFonts w:ascii="Century" w:hAnsi="Century"/>
          <w:sz w:val="24"/>
          <w:szCs w:val="24"/>
        </w:rPr>
        <w:t xml:space="preserve">Personer, som har ophold på en boform efter §107 kan </w:t>
      </w:r>
      <w:r w:rsidR="00080B19" w:rsidRPr="00080B19">
        <w:rPr>
          <w:rFonts w:ascii="Century" w:hAnsi="Century"/>
          <w:sz w:val="24"/>
          <w:szCs w:val="24"/>
        </w:rPr>
        <w:t xml:space="preserve">på nogle områder minde om </w:t>
      </w:r>
      <w:r w:rsidRPr="00080B19">
        <w:rPr>
          <w:rFonts w:ascii="Century" w:hAnsi="Century"/>
          <w:sz w:val="24"/>
          <w:szCs w:val="24"/>
        </w:rPr>
        <w:t>målgruppen under</w:t>
      </w:r>
      <w:r w:rsidR="00080B19" w:rsidRPr="00080B19">
        <w:rPr>
          <w:rFonts w:ascii="Century" w:hAnsi="Century"/>
          <w:sz w:val="24"/>
          <w:szCs w:val="24"/>
        </w:rPr>
        <w:t xml:space="preserve"> </w:t>
      </w:r>
      <w:r w:rsidRPr="00080B19">
        <w:rPr>
          <w:rFonts w:ascii="Century" w:hAnsi="Century"/>
          <w:sz w:val="24"/>
          <w:szCs w:val="24"/>
        </w:rPr>
        <w:t>§108</w:t>
      </w:r>
      <w:r w:rsidR="00080B19">
        <w:rPr>
          <w:rFonts w:ascii="Century" w:hAnsi="Century"/>
          <w:sz w:val="24"/>
          <w:szCs w:val="24"/>
        </w:rPr>
        <w:t>,</w:t>
      </w:r>
      <w:r w:rsidRPr="00080B19">
        <w:rPr>
          <w:rFonts w:ascii="Century" w:hAnsi="Century"/>
          <w:sz w:val="24"/>
          <w:szCs w:val="24"/>
        </w:rPr>
        <w:t xml:space="preserve"> </w:t>
      </w:r>
      <w:r w:rsidR="00080B19" w:rsidRPr="00080B19">
        <w:rPr>
          <w:rFonts w:ascii="Century" w:hAnsi="Century"/>
          <w:sz w:val="24"/>
          <w:szCs w:val="24"/>
        </w:rPr>
        <w:t xml:space="preserve">men vil dog være knap så medtaget af et svært liv. </w:t>
      </w:r>
      <w:r w:rsidRPr="00080B19">
        <w:rPr>
          <w:rFonts w:ascii="Century" w:hAnsi="Century"/>
          <w:sz w:val="24"/>
          <w:szCs w:val="24"/>
        </w:rPr>
        <w:t xml:space="preserve"> </w:t>
      </w:r>
    </w:p>
    <w:p w14:paraId="13AE723A" w14:textId="77777777" w:rsidR="00080B19" w:rsidRPr="00080B19" w:rsidRDefault="00080B19" w:rsidP="002A4A75">
      <w:pPr>
        <w:spacing w:after="0"/>
        <w:rPr>
          <w:rFonts w:ascii="Century" w:hAnsi="Century"/>
          <w:sz w:val="24"/>
          <w:szCs w:val="24"/>
        </w:rPr>
      </w:pPr>
    </w:p>
    <w:p w14:paraId="18A906A0" w14:textId="433CA172" w:rsidR="00B5543C" w:rsidRDefault="00080B19">
      <w:pPr>
        <w:rPr>
          <w:rFonts w:ascii="Century" w:hAnsi="Century" w:cs="Arial"/>
          <w:color w:val="222222"/>
          <w:sz w:val="24"/>
          <w:szCs w:val="24"/>
          <w:shd w:val="clear" w:color="auto" w:fill="FFFFFF"/>
        </w:rPr>
      </w:pPr>
      <w:r w:rsidRPr="00080B19">
        <w:rPr>
          <w:rFonts w:ascii="Century" w:hAnsi="Century"/>
          <w:sz w:val="24"/>
          <w:szCs w:val="24"/>
        </w:rPr>
        <w:t xml:space="preserve">Der er tale om borgere </w:t>
      </w:r>
      <w:r>
        <w:rPr>
          <w:rFonts w:ascii="Century" w:hAnsi="Century"/>
          <w:sz w:val="24"/>
          <w:szCs w:val="24"/>
        </w:rPr>
        <w:t>med</w:t>
      </w:r>
      <w:r w:rsidRPr="00080B19">
        <w:rPr>
          <w:rFonts w:ascii="Century" w:hAnsi="Century"/>
          <w:sz w:val="24"/>
          <w:szCs w:val="24"/>
        </w:rPr>
        <w:t xml:space="preserve"> </w:t>
      </w:r>
      <w:r w:rsidRPr="00080B19">
        <w:rPr>
          <w:rFonts w:ascii="Century" w:hAnsi="Century" w:cs="Arial"/>
          <w:color w:val="222222"/>
          <w:sz w:val="24"/>
          <w:szCs w:val="24"/>
          <w:shd w:val="clear" w:color="auto" w:fill="FFFFFF"/>
        </w:rPr>
        <w:t>betydelig nedsat fysisk eller psykisk funktionsevne eller særlige sociale problemer</w:t>
      </w: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, og som derfor har brug for midlertidig </w:t>
      </w:r>
      <w:r w:rsidR="00DC7C22"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social- og/eller sundhedsfaglig </w:t>
      </w: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hjælp til at få det bedre og gøres </w:t>
      </w:r>
      <w:r w:rsidR="00DC7C22">
        <w:rPr>
          <w:rFonts w:ascii="Century" w:hAnsi="Century" w:cs="Arial"/>
          <w:color w:val="222222"/>
          <w:sz w:val="24"/>
          <w:szCs w:val="24"/>
          <w:shd w:val="clear" w:color="auto" w:fill="FFFFFF"/>
        </w:rPr>
        <w:t>klar</w:t>
      </w: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 til at flytte i egen bolig.</w:t>
      </w:r>
    </w:p>
    <w:p w14:paraId="050BA175" w14:textId="1BAB7AAF" w:rsidR="00080B19" w:rsidRDefault="00080B19" w:rsidP="00080B19">
      <w:pPr>
        <w:spacing w:after="0"/>
        <w:rPr>
          <w:rFonts w:ascii="Century" w:hAnsi="Century" w:cs="Arial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Century" w:hAnsi="Century" w:cs="Arial"/>
          <w:color w:val="222222"/>
          <w:sz w:val="24"/>
          <w:szCs w:val="24"/>
          <w:u w:val="single"/>
          <w:shd w:val="clear" w:color="auto" w:fill="FFFFFF"/>
        </w:rPr>
        <w:t>Pædagogisk tilgang</w:t>
      </w:r>
    </w:p>
    <w:p w14:paraId="1C8E4CC4" w14:textId="1118DF0E" w:rsidR="00080B19" w:rsidRDefault="00DC7C22" w:rsidP="00080B19">
      <w:pPr>
        <w:spacing w:after="0"/>
        <w:rPr>
          <w:rFonts w:ascii="Century" w:hAnsi="Century" w:cs="Arial"/>
          <w:color w:val="222222"/>
          <w:sz w:val="24"/>
          <w:szCs w:val="24"/>
          <w:shd w:val="clear" w:color="auto" w:fill="FFFFFF"/>
        </w:rPr>
      </w:pP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>For den enkelte beboer</w:t>
      </w:r>
      <w:r w:rsidR="00D214D8">
        <w:rPr>
          <w:rFonts w:ascii="Century" w:hAnsi="Century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 er der </w:t>
      </w:r>
      <w:r w:rsidR="00D214D8"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på baggrund af hjemkommunens udredning i henhold til Servicelovens §141 </w:t>
      </w:r>
      <w:r w:rsidR="00FF635E"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typisk </w:t>
      </w: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>lagt en opholdsplan, hvoraf fremgår en struktur for opholdet</w:t>
      </w:r>
      <w:r w:rsidR="00D214D8">
        <w:rPr>
          <w:rFonts w:ascii="Century" w:hAnsi="Century" w:cs="Arial"/>
          <w:color w:val="222222"/>
          <w:sz w:val="24"/>
          <w:szCs w:val="24"/>
          <w:shd w:val="clear" w:color="auto" w:fill="FFFFFF"/>
        </w:rPr>
        <w:t>, herunder en plan for træning henimod højere funktionsevne</w:t>
      </w: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. Den enkelte boform har udviklet </w:t>
      </w:r>
      <w:r w:rsidR="00D214D8"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og iværksat </w:t>
      </w: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>nogle rehabiliteringsindsatser, som b</w:t>
      </w:r>
      <w:r w:rsidR="00D214D8">
        <w:rPr>
          <w:rFonts w:ascii="Century" w:hAnsi="Century" w:cs="Arial"/>
          <w:color w:val="222222"/>
          <w:sz w:val="24"/>
          <w:szCs w:val="24"/>
          <w:shd w:val="clear" w:color="auto" w:fill="FFFFFF"/>
        </w:rPr>
        <w:t>eboeren</w:t>
      </w: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 efter aftale indgår i. </w:t>
      </w:r>
    </w:p>
    <w:p w14:paraId="637BD273" w14:textId="21F86AE6" w:rsidR="00DC7C22" w:rsidRDefault="00DC7C22" w:rsidP="00080B19">
      <w:pPr>
        <w:spacing w:after="0"/>
        <w:rPr>
          <w:rFonts w:ascii="Century" w:hAnsi="Century" w:cs="Arial"/>
          <w:color w:val="222222"/>
          <w:sz w:val="24"/>
          <w:szCs w:val="24"/>
          <w:shd w:val="clear" w:color="auto" w:fill="FFFFFF"/>
        </w:rPr>
      </w:pP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>Kontinuerligt laves opfølgning på målene for opholdet og derved gøres status for beboerens recovery-proces.</w:t>
      </w:r>
    </w:p>
    <w:p w14:paraId="70AD8738" w14:textId="77777777" w:rsidR="00DC7C22" w:rsidRDefault="00DC7C22" w:rsidP="00080B19">
      <w:pPr>
        <w:spacing w:after="0"/>
        <w:rPr>
          <w:rFonts w:ascii="Century" w:hAnsi="Century" w:cs="Arial"/>
          <w:color w:val="222222"/>
          <w:sz w:val="24"/>
          <w:szCs w:val="24"/>
          <w:shd w:val="clear" w:color="auto" w:fill="FFFFFF"/>
        </w:rPr>
      </w:pPr>
    </w:p>
    <w:p w14:paraId="7A50E682" w14:textId="77777777" w:rsidR="00FF635E" w:rsidRDefault="00DC7C22" w:rsidP="00080B19">
      <w:pPr>
        <w:spacing w:after="0"/>
        <w:rPr>
          <w:rFonts w:ascii="Century" w:hAnsi="Century" w:cs="Arial"/>
          <w:color w:val="222222"/>
          <w:sz w:val="24"/>
          <w:szCs w:val="24"/>
          <w:shd w:val="clear" w:color="auto" w:fill="FFFFFF"/>
        </w:rPr>
      </w:pP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>Boformen har tværfagligt personale, som sø</w:t>
      </w:r>
      <w:r w:rsidR="00D214D8">
        <w:rPr>
          <w:rFonts w:ascii="Century" w:hAnsi="Century" w:cs="Arial"/>
          <w:color w:val="222222"/>
          <w:sz w:val="24"/>
          <w:szCs w:val="24"/>
          <w:shd w:val="clear" w:color="auto" w:fill="FFFFFF"/>
        </w:rPr>
        <w:t>r</w:t>
      </w: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ger for rehabilitering af den enkelte beboer. Nogle steder er rehabilitering </w:t>
      </w:r>
      <w:r w:rsidR="00D214D8">
        <w:rPr>
          <w:rFonts w:ascii="Century" w:hAnsi="Century" w:cs="Arial"/>
          <w:color w:val="222222"/>
          <w:sz w:val="24"/>
          <w:szCs w:val="24"/>
          <w:shd w:val="clear" w:color="auto" w:fill="FFFFFF"/>
        </w:rPr>
        <w:t>primært f</w:t>
      </w: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>underet i en kognitiv reference</w:t>
      </w:r>
      <w:r w:rsidR="00D214D8">
        <w:rPr>
          <w:rFonts w:ascii="Century" w:hAnsi="Century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 mens det andre steder er det den </w:t>
      </w:r>
      <w:proofErr w:type="spellStart"/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>mentaliseringsbaserede</w:t>
      </w:r>
      <w:proofErr w:type="spellEnd"/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 tilgang, som vinder frem. </w:t>
      </w:r>
      <w:r w:rsidR="00D214D8">
        <w:rPr>
          <w:rFonts w:ascii="Century" w:hAnsi="Century" w:cs="Arial"/>
          <w:color w:val="222222"/>
          <w:sz w:val="24"/>
          <w:szCs w:val="24"/>
          <w:shd w:val="clear" w:color="auto" w:fill="FFFFFF"/>
        </w:rPr>
        <w:t>Dette afhænger blandt andet af, hvorvidt boformen træner relationelle kompetencer set i forhold til funktionsniveau. Typisk vil tilgangen være eklektisk.</w:t>
      </w:r>
      <w:r w:rsidR="00FF635E"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2FFEB275" w14:textId="77777777" w:rsidR="00FF635E" w:rsidRDefault="00FF635E" w:rsidP="00080B19">
      <w:pPr>
        <w:spacing w:after="0"/>
        <w:rPr>
          <w:rFonts w:ascii="Century" w:hAnsi="Century" w:cs="Arial"/>
          <w:color w:val="222222"/>
          <w:sz w:val="24"/>
          <w:szCs w:val="24"/>
          <w:shd w:val="clear" w:color="auto" w:fill="FFFFFF"/>
        </w:rPr>
      </w:pPr>
    </w:p>
    <w:p w14:paraId="7E11FB89" w14:textId="20101FCB" w:rsidR="00DC7C22" w:rsidRDefault="00FF635E" w:rsidP="00080B19">
      <w:pPr>
        <w:spacing w:after="0"/>
        <w:rPr>
          <w:rFonts w:ascii="Century" w:hAnsi="Century" w:cs="Arial"/>
          <w:color w:val="222222"/>
          <w:sz w:val="24"/>
          <w:szCs w:val="24"/>
          <w:shd w:val="clear" w:color="auto" w:fill="FFFFFF"/>
        </w:rPr>
      </w:pPr>
      <w:r>
        <w:rPr>
          <w:rFonts w:ascii="Century" w:hAnsi="Century" w:cs="Arial"/>
          <w:color w:val="222222"/>
          <w:sz w:val="24"/>
          <w:szCs w:val="24"/>
          <w:shd w:val="clear" w:color="auto" w:fill="FFFFFF"/>
        </w:rPr>
        <w:t xml:space="preserve">Gennem miljøterapiens fællesskaber og aktiviteter trænes borgeren til at finde balance mellem egne og andres behov. </w:t>
      </w:r>
    </w:p>
    <w:p w14:paraId="5922D16A" w14:textId="77777777" w:rsidR="00DC7C22" w:rsidRDefault="00DC7C22" w:rsidP="00080B19">
      <w:pPr>
        <w:spacing w:after="0"/>
        <w:rPr>
          <w:rFonts w:ascii="Century" w:hAnsi="Century" w:cs="Arial"/>
          <w:color w:val="222222"/>
          <w:sz w:val="24"/>
          <w:szCs w:val="24"/>
          <w:shd w:val="clear" w:color="auto" w:fill="FFFFFF"/>
        </w:rPr>
      </w:pPr>
    </w:p>
    <w:p w14:paraId="6C5BD0D4" w14:textId="77777777" w:rsidR="00FF635E" w:rsidRDefault="00FF635E" w:rsidP="00080B19">
      <w:pPr>
        <w:spacing w:after="0"/>
        <w:rPr>
          <w:rFonts w:ascii="Century" w:hAnsi="Century" w:cs="Arial"/>
          <w:color w:val="222222"/>
          <w:sz w:val="24"/>
          <w:szCs w:val="24"/>
          <w:u w:val="single"/>
          <w:shd w:val="clear" w:color="auto" w:fill="FFFFFF"/>
        </w:rPr>
      </w:pPr>
    </w:p>
    <w:p w14:paraId="2B710033" w14:textId="77777777" w:rsidR="00FF635E" w:rsidRDefault="00FF635E" w:rsidP="00080B19">
      <w:pPr>
        <w:spacing w:after="0"/>
        <w:rPr>
          <w:rFonts w:ascii="Century" w:hAnsi="Century" w:cs="Arial"/>
          <w:color w:val="222222"/>
          <w:sz w:val="24"/>
          <w:szCs w:val="24"/>
          <w:u w:val="single"/>
          <w:shd w:val="clear" w:color="auto" w:fill="FFFFFF"/>
        </w:rPr>
      </w:pPr>
    </w:p>
    <w:p w14:paraId="76E262BB" w14:textId="39AF2FA1" w:rsidR="00DC7C22" w:rsidRDefault="00E4369E" w:rsidP="00080B19">
      <w:pPr>
        <w:spacing w:after="0"/>
        <w:rPr>
          <w:rFonts w:ascii="Century" w:hAnsi="Century" w:cs="Arial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Century" w:hAnsi="Century" w:cs="Arial"/>
          <w:color w:val="222222"/>
          <w:sz w:val="24"/>
          <w:szCs w:val="24"/>
          <w:u w:val="single"/>
          <w:shd w:val="clear" w:color="auto" w:fill="FFFFFF"/>
        </w:rPr>
        <w:lastRenderedPageBreak/>
        <w:t xml:space="preserve">Fagligt </w:t>
      </w:r>
      <w:r w:rsidR="00FF635E">
        <w:rPr>
          <w:rFonts w:ascii="Century" w:hAnsi="Century" w:cs="Arial"/>
          <w:color w:val="222222"/>
          <w:sz w:val="24"/>
          <w:szCs w:val="24"/>
          <w:u w:val="single"/>
          <w:shd w:val="clear" w:color="auto" w:fill="FFFFFF"/>
        </w:rPr>
        <w:t xml:space="preserve">grundlag </w:t>
      </w:r>
    </w:p>
    <w:p w14:paraId="485959F0" w14:textId="5240E4BA" w:rsidR="00FF635E" w:rsidRDefault="00FF635E" w:rsidP="00FF635E">
      <w:pPr>
        <w:rPr>
          <w:rFonts w:ascii="Century" w:hAnsi="Century"/>
          <w:sz w:val="24"/>
          <w:szCs w:val="24"/>
        </w:rPr>
      </w:pPr>
      <w:bookmarkStart w:id="0" w:name="_Hlk62443137"/>
      <w:r w:rsidRPr="0037583A">
        <w:rPr>
          <w:rFonts w:ascii="Century" w:hAnsi="Century"/>
          <w:sz w:val="24"/>
          <w:szCs w:val="24"/>
        </w:rPr>
        <w:t>Opholdet</w:t>
      </w:r>
      <w:r>
        <w:rPr>
          <w:rFonts w:ascii="Century" w:hAnsi="Century"/>
          <w:sz w:val="24"/>
          <w:szCs w:val="24"/>
        </w:rPr>
        <w:t xml:space="preserve"> på boformen og følgende indsats</w:t>
      </w:r>
      <w:r w:rsidRPr="0037583A">
        <w:rPr>
          <w:rFonts w:ascii="Century" w:hAnsi="Century"/>
          <w:sz w:val="24"/>
          <w:szCs w:val="24"/>
        </w:rPr>
        <w:t xml:space="preserve"> skal ses som indeholdende rehabiliterende tiltag med henblik på borgerens recovery </w:t>
      </w:r>
      <w:r w:rsidR="00B87B2C">
        <w:rPr>
          <w:rFonts w:ascii="Century" w:hAnsi="Century"/>
          <w:sz w:val="24"/>
          <w:szCs w:val="24"/>
        </w:rPr>
        <w:t xml:space="preserve">- </w:t>
      </w:r>
      <w:hyperlink r:id="rId4" w:history="1">
        <w:r w:rsidR="00B87B2C">
          <w:rPr>
            <w:rStyle w:val="Hyperlink"/>
            <w:rFonts w:ascii="Century" w:hAnsi="Century"/>
            <w:sz w:val="24"/>
            <w:szCs w:val="24"/>
          </w:rPr>
          <w:t>http://www.blaakors.dk/sites/blaakors.dk/files/2021-01/Faglig%20beskrivelse%20-%20socialfaglig%20tilgang.docx</w:t>
        </w:r>
      </w:hyperlink>
      <w:r w:rsidRPr="0037583A">
        <w:rPr>
          <w:rFonts w:ascii="Century" w:hAnsi="Century"/>
          <w:color w:val="FF0000"/>
          <w:sz w:val="24"/>
          <w:szCs w:val="24"/>
        </w:rPr>
        <w:t xml:space="preserve"> </w:t>
      </w:r>
    </w:p>
    <w:bookmarkEnd w:id="0"/>
    <w:p w14:paraId="25A9A3C7" w14:textId="7A480BE1" w:rsidR="00E4369E" w:rsidRPr="00E4369E" w:rsidRDefault="00E4369E" w:rsidP="00E4369E">
      <w:pPr>
        <w:spacing w:after="0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Værdigrundlag</w:t>
      </w:r>
    </w:p>
    <w:p w14:paraId="26DC285A" w14:textId="10C30BD5" w:rsidR="00FF635E" w:rsidRPr="0037583A" w:rsidRDefault="00FF635E" w:rsidP="00E4369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Hjemløshedsindsatsen har sit udgangspunkt i Blå Kors´ diakonale grundlag </w:t>
      </w:r>
      <w:hyperlink r:id="rId5" w:history="1">
        <w:r w:rsidRPr="00BB3309">
          <w:rPr>
            <w:rStyle w:val="Hyperlink"/>
            <w:rFonts w:eastAsia="Times New Roman"/>
            <w:sz w:val="24"/>
            <w:szCs w:val="24"/>
          </w:rPr>
          <w:t>https://www.blaakors.dk/sites/blaakors.dk/files/2020-03/diakoni_og_menneskesyn.pdf</w:t>
        </w:r>
      </w:hyperlink>
    </w:p>
    <w:p w14:paraId="6704C834" w14:textId="77777777" w:rsidR="00FF635E" w:rsidRPr="0037583A" w:rsidRDefault="00FF635E" w:rsidP="00FF635E">
      <w:pPr>
        <w:rPr>
          <w:rFonts w:ascii="Century" w:hAnsi="Century"/>
          <w:sz w:val="24"/>
          <w:szCs w:val="24"/>
        </w:rPr>
      </w:pPr>
      <w:r w:rsidRPr="0037583A">
        <w:rPr>
          <w:rFonts w:ascii="Century" w:hAnsi="Century"/>
          <w:sz w:val="24"/>
          <w:szCs w:val="24"/>
        </w:rPr>
        <w:t xml:space="preserve"> </w:t>
      </w:r>
    </w:p>
    <w:p w14:paraId="2CA9D9EE" w14:textId="77777777" w:rsidR="00FF635E" w:rsidRPr="00FF635E" w:rsidRDefault="00FF635E" w:rsidP="00080B19">
      <w:pPr>
        <w:spacing w:after="0"/>
        <w:rPr>
          <w:rFonts w:ascii="Century" w:hAnsi="Century"/>
          <w:sz w:val="24"/>
          <w:szCs w:val="24"/>
          <w:u w:val="single"/>
        </w:rPr>
      </w:pPr>
    </w:p>
    <w:sectPr w:rsidR="00FF635E" w:rsidRPr="00FF63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3C"/>
    <w:rsid w:val="00080B19"/>
    <w:rsid w:val="002A4A75"/>
    <w:rsid w:val="003867A7"/>
    <w:rsid w:val="00412AA7"/>
    <w:rsid w:val="005A3BFC"/>
    <w:rsid w:val="005C0886"/>
    <w:rsid w:val="00986365"/>
    <w:rsid w:val="00B5543C"/>
    <w:rsid w:val="00B87B2C"/>
    <w:rsid w:val="00D214D8"/>
    <w:rsid w:val="00DC7C22"/>
    <w:rsid w:val="00E4369E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F3AC"/>
  <w15:chartTrackingRefBased/>
  <w15:docId w15:val="{7A51CBAE-0ABE-416C-9F47-31909D9B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F6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aakors.dk/sites/blaakors.dk/files/2020-03/diakoni_og_menneskesyn.pdf" TargetMode="External"/><Relationship Id="rId4" Type="http://schemas.openxmlformats.org/officeDocument/2006/relationships/hyperlink" Target="http://www.blaakors.dk/sites/blaakors.dk/files/2021-01/Faglig%20beskrivelse%20-%20socialfaglig%20tilgang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Trans</dc:creator>
  <cp:keywords/>
  <dc:description/>
  <cp:lastModifiedBy>Anette Helligsø</cp:lastModifiedBy>
  <cp:revision>3</cp:revision>
  <dcterms:created xsi:type="dcterms:W3CDTF">2021-02-15T07:15:00Z</dcterms:created>
  <dcterms:modified xsi:type="dcterms:W3CDTF">2021-02-15T07:18:00Z</dcterms:modified>
</cp:coreProperties>
</file>